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14856"/>
          <w:sz w:val="33"/>
          <w:szCs w:val="33"/>
          <w:shd w:fill="e7e7e7" w:val="clear"/>
        </w:rPr>
      </w:pPr>
      <w:r w:rsidDel="00000000" w:rsidR="00000000" w:rsidRPr="00000000">
        <w:rPr>
          <w:color w:val="414856"/>
          <w:sz w:val="33"/>
          <w:szCs w:val="33"/>
          <w:shd w:fill="e7e7e7" w:val="clear"/>
          <w:rtl w:val="0"/>
        </w:rPr>
        <w:t xml:space="preserve">Barème kilométrique applicable aux voitures (en €)</w:t>
      </w:r>
    </w:p>
    <w:p w:rsidR="00000000" w:rsidDel="00000000" w:rsidP="00000000" w:rsidRDefault="00000000" w:rsidRPr="00000000" w14:paraId="00000002">
      <w:pPr>
        <w:rPr>
          <w:color w:val="414856"/>
          <w:sz w:val="21"/>
          <w:szCs w:val="21"/>
          <w:shd w:fill="e7e7e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1845"/>
        <w:gridCol w:w="2655"/>
        <w:gridCol w:w="2070"/>
        <w:tblGridChange w:id="0">
          <w:tblGrid>
            <w:gridCol w:w="2295"/>
            <w:gridCol w:w="1845"/>
            <w:gridCol w:w="2655"/>
            <w:gridCol w:w="207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Puissance administrative (en CV)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jusqu'à 5 000 km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de 5 001 km à 20 000 km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au-delà de 20 000 km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3 CV et moins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0,502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0,3) + 1 007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0,35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4 CV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0,575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0,323) + 1 262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0,387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5 CV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0,603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0,339) + 1 320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0,405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6 CV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0,631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0,355) + 1 382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0,425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7 CV et plus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0,661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0,374) + 1 435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0,446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4"/>
          <w:szCs w:val="34"/>
        </w:rPr>
      </w:pPr>
      <w:r w:rsidDel="00000000" w:rsidR="00000000" w:rsidRPr="00000000">
        <w:rPr>
          <w:color w:val="414856"/>
          <w:sz w:val="33"/>
          <w:szCs w:val="33"/>
          <w:shd w:fill="e7e7e7" w:val="clear"/>
          <w:rtl w:val="0"/>
        </w:rPr>
        <w:t xml:space="preserve">Barème kilométrique applicable aux motocyclettes (en 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1875"/>
        <w:gridCol w:w="2670"/>
        <w:gridCol w:w="1980"/>
        <w:tblGridChange w:id="0">
          <w:tblGrid>
            <w:gridCol w:w="2340"/>
            <w:gridCol w:w="1875"/>
            <w:gridCol w:w="2670"/>
            <w:gridCol w:w="198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Puissance administrative (en CV)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jusqu'à 3 000 km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de 3 001 km à 6 000 km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au-delà de 6 000 km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1 ou 2 CV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0,375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0,094) + 845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0,234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3,4 ou 5 CV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0,444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0,078) + 1 099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0,261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2f2f2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plus de 5 CV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0,575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0,075) + 1 502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0,325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414856"/>
          <w:sz w:val="33"/>
          <w:szCs w:val="33"/>
          <w:shd w:fill="e7e7e7" w:val="clear"/>
        </w:rPr>
      </w:pPr>
      <w:r w:rsidDel="00000000" w:rsidR="00000000" w:rsidRPr="00000000">
        <w:rPr>
          <w:color w:val="414856"/>
          <w:sz w:val="33"/>
          <w:szCs w:val="33"/>
          <w:shd w:fill="e7e7e7" w:val="clear"/>
          <w:rtl w:val="0"/>
        </w:rPr>
        <w:t xml:space="preserve">Barème kilométrique applicable aux cyclomoteurs (en €)</w:t>
      </w:r>
    </w:p>
    <w:p w:rsidR="00000000" w:rsidDel="00000000" w:rsidP="00000000" w:rsidRDefault="00000000" w:rsidRPr="00000000" w14:paraId="0000003F">
      <w:pPr>
        <w:rPr>
          <w:color w:val="414856"/>
          <w:sz w:val="21"/>
          <w:szCs w:val="21"/>
          <w:shd w:fill="e7e7e7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3330"/>
        <w:gridCol w:w="2895"/>
        <w:tblGridChange w:id="0">
          <w:tblGrid>
            <w:gridCol w:w="2640"/>
            <w:gridCol w:w="3330"/>
            <w:gridCol w:w="289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jusqu'à 3 000 km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de 3 001 km à 6 000 km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shd w:fill="0b6ba8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680" w:line="36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Distance (d) au-delà de 6 000 km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0,299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(d x 0,07) + 458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0" w:val="nil"/>
            </w:tcBorders>
            <w:shd w:fill="ecece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60" w:line="360" w:lineRule="auto"/>
              <w:rPr>
                <w:color w:val="414856"/>
                <w:sz w:val="21"/>
                <w:szCs w:val="21"/>
              </w:rPr>
            </w:pPr>
            <w:r w:rsidDel="00000000" w:rsidR="00000000" w:rsidRPr="00000000">
              <w:rPr>
                <w:color w:val="414856"/>
                <w:sz w:val="21"/>
                <w:szCs w:val="21"/>
                <w:rtl w:val="0"/>
              </w:rPr>
              <w:t xml:space="preserve">d x 0,162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